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72" w:rsidRDefault="00915672" w:rsidP="00915672">
      <w:pPr>
        <w:pStyle w:val="Nadpis2"/>
        <w:jc w:val="center"/>
        <w:rPr>
          <w:rFonts w:ascii="Georgia" w:hAnsi="Georgia" w:cstheme="minorHAnsi"/>
          <w:color w:val="003399"/>
          <w:sz w:val="24"/>
          <w:szCs w:val="24"/>
        </w:rPr>
      </w:pPr>
      <w:bookmarkStart w:id="0" w:name="_GoBack"/>
      <w:bookmarkEnd w:id="0"/>
      <w:r w:rsidRPr="00EF0717">
        <w:rPr>
          <w:rFonts w:ascii="Georgia" w:hAnsi="Georgia" w:cstheme="minorHAnsi"/>
          <w:color w:val="003399"/>
          <w:sz w:val="24"/>
          <w:szCs w:val="24"/>
        </w:rPr>
        <w:t>P0</w:t>
      </w:r>
      <w:r>
        <w:rPr>
          <w:rFonts w:ascii="Georgia" w:hAnsi="Georgia" w:cstheme="minorHAnsi"/>
          <w:color w:val="003399"/>
          <w:sz w:val="24"/>
          <w:szCs w:val="24"/>
        </w:rPr>
        <w:t>2</w:t>
      </w:r>
      <w:r w:rsidRPr="00EF0717">
        <w:rPr>
          <w:rFonts w:ascii="Georgia" w:hAnsi="Georgia" w:cstheme="minorHAnsi"/>
          <w:color w:val="003399"/>
          <w:sz w:val="24"/>
          <w:szCs w:val="24"/>
        </w:rPr>
        <w:t xml:space="preserve"> – </w:t>
      </w:r>
      <w:r>
        <w:rPr>
          <w:rFonts w:ascii="Georgia" w:hAnsi="Georgia" w:cstheme="minorHAnsi"/>
          <w:color w:val="003399"/>
          <w:sz w:val="24"/>
          <w:szCs w:val="24"/>
        </w:rPr>
        <w:t xml:space="preserve">Komunikace Mgr. Langové ve věci </w:t>
      </w:r>
      <w:proofErr w:type="spellStart"/>
      <w:r>
        <w:rPr>
          <w:rFonts w:ascii="Georgia" w:hAnsi="Georgia" w:cstheme="minorHAnsi"/>
          <w:color w:val="003399"/>
          <w:sz w:val="24"/>
          <w:szCs w:val="24"/>
        </w:rPr>
        <w:t>whistleblowingu</w:t>
      </w:r>
      <w:proofErr w:type="spellEnd"/>
    </w:p>
    <w:p w:rsidR="00915672" w:rsidRPr="00915672" w:rsidRDefault="00915672" w:rsidP="00915672"/>
    <w:p w:rsidR="00915672" w:rsidRPr="00717C85" w:rsidRDefault="00915672" w:rsidP="00915672">
      <w:pPr>
        <w:jc w:val="both"/>
        <w:rPr>
          <w:rFonts w:cstheme="minorHAnsi"/>
          <w:color w:val="7030A0"/>
        </w:rPr>
      </w:pPr>
      <w:r w:rsidRPr="00717C85">
        <w:rPr>
          <w:rFonts w:cstheme="minorHAnsi"/>
          <w:color w:val="7030A0"/>
        </w:rPr>
        <w:t xml:space="preserve">Email ze dne </w:t>
      </w:r>
      <w:proofErr w:type="gramStart"/>
      <w:r w:rsidRPr="00717C85">
        <w:rPr>
          <w:rFonts w:cstheme="minorHAnsi"/>
          <w:color w:val="7030A0"/>
        </w:rPr>
        <w:t>14.10.2020</w:t>
      </w:r>
      <w:proofErr w:type="gramEnd"/>
      <w:r w:rsidRPr="00717C85">
        <w:rPr>
          <w:rFonts w:cstheme="minorHAnsi"/>
          <w:color w:val="7030A0"/>
        </w:rPr>
        <w:t xml:space="preserve"> od Mgr. Jitky Langové prorektorovi Lachovi: </w:t>
      </w:r>
    </w:p>
    <w:p w:rsidR="00915672" w:rsidRPr="00717C85" w:rsidRDefault="00915672" w:rsidP="00915672">
      <w:pPr>
        <w:pStyle w:val="Textkomente"/>
        <w:rPr>
          <w:rFonts w:cstheme="minorHAnsi"/>
          <w:sz w:val="22"/>
          <w:szCs w:val="22"/>
        </w:rPr>
      </w:pPr>
      <w:r w:rsidRPr="00717C85">
        <w:rPr>
          <w:rFonts w:cstheme="minorHAnsi"/>
          <w:sz w:val="22"/>
          <w:szCs w:val="22"/>
        </w:rPr>
        <w:t>J. Langová oslovila již dříve pana prorektora, přikládám: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Vážený pane prorektore,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dovoluji si Vás touto cestou upozornit na Směrnici Evropského parlamentu a Rady (EU) 2019/1937 ze dne 23. října 2019, o ochraně osob, které oznamují porušení práva Unie (dále jen „směrnice“).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Tato směrnice tedy ve vymezených oblastech upravuje tzv. „</w:t>
      </w: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</w:rPr>
        <w:t>whistleblowing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</w:rPr>
        <w:t>“, který je již mnoho let poměrně diskutovaným tématem jak na úrovni národní, tak na úrovni nadnárodní.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Směrnice ve svém článku 2 stanovuje následující minimální oblasti své věcné působnosti (tj. oblasti, ve kterých se uplatní ochrana osob oznamujících porušení práva Unie dle této směrnice):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porušení spadající do oblasti působnosti aktů Unie uvedených v příloze, která se týkají těchto oblastí: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i) 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zadávání veřejných zakázek;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ii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finanční služby, produkty a trhy a předcházení praní peněz a financování terorismu;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iii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bezpečnost a soulad výrobků s předpisy;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iv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bezpečnost dopravy;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ochrana životního prostředí;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vi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radiační ochrana a jaderná bezpečnost;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vii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bezpečnost potravin a krmiv, zdraví a dobré životní podmínky zvířat;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viii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veřejné zdraví;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ix</w:t>
      </w:r>
      <w:proofErr w:type="spellEnd"/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ochrana spotřebitele;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2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x)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ochrana soukromí a osobních údajů a bezpečnost sítí a informačních systémů;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porušení ohrožující finanční zájmy Unie podle článku 325 Smlouvy o fungování EU a blíže upřesněná v příslušných opatřeních Unie;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porušení týkající se vnitřního trhu podle čl. 26 odst. 2 Smlouvy o fungování EU, včetně porušení unijních pravidel hospodářské soutěže a státní podpory, jakož i porušení týkající se vnitřního trhu v souvislosti s jednáními, která porušují pravidla týkající se daně z příjmů právnických osob, nebo s mechanismy, jejichž účelem je získání daňové výhody, která maří předmět nebo účel příslušného práva v oblasti daně z příjmů právnických osob.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Směrnice dále upravuje osobní působnost, tj. které skupiny oznamovatelů mohou oznámení provést.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1.     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Jedná se o oznamující osoby pracující v soukromém nebo veřejném sektoru, které získaly informace o porušení v pracovním kontextu, alespoň v rozsahu: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06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osob, které mají status pracovníka ve smyslu čl. 45 odst. 1 Smlouvy o fungování EU, včetně státních zaměstnanců;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06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osob, které mají status osob samostatně výdělečně činných ve smyslu článku 49 Smlouvy o fungování EU;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06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akcionářů a osob náležejících do správního, řídicího nebo dohledového orgánu podniku, včetně nevýkonných členů, jakož i dobrovolníků a placených či neplacených stážistů;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068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veškerých osob, které pracují pod dohledem a podle pokynů zhotovitelů, subdodavatelů a dodavatelů.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2.     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Směrnice se vztahuje i na oznamující osoby, které oznamují nebo zveřejňují informace o porušení získané v rámci pracovního poměru, který mezitím skončil.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3.     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Směrnice se vztahuje rovněž na oznamující osoby, jejichž pracovní poměr má teprve začít, jestliže byly informace o porušení získány během přijímacího řízení či jiných předsmluvních jednání.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72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lastRenderedPageBreak/>
        <w:t>4.     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 xml:space="preserve">Opatření na ochranu oznamujících osob uvedená v kapitole VI (zákaz odvetných opatření) se případně vztahují i </w:t>
      </w:r>
      <w:proofErr w:type="gramStart"/>
      <w:r w:rsidRPr="00717C85">
        <w:rPr>
          <w:rFonts w:asciiTheme="minorHAnsi" w:hAnsiTheme="minorHAnsi" w:cstheme="minorHAnsi"/>
          <w:color w:val="201F1E"/>
          <w:sz w:val="22"/>
          <w:szCs w:val="22"/>
        </w:rPr>
        <w:t>na</w:t>
      </w:r>
      <w:proofErr w:type="gramEnd"/>
      <w:r w:rsidRPr="00717C85">
        <w:rPr>
          <w:rFonts w:asciiTheme="minorHAnsi" w:hAnsiTheme="minorHAnsi" w:cstheme="minorHAnsi"/>
          <w:color w:val="201F1E"/>
          <w:sz w:val="22"/>
          <w:szCs w:val="22"/>
        </w:rPr>
        <w:t>: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4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prostředníky;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4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b)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třetí osoby spojené s oznamujícími osobami, jež by mohly být postiženy odvetnými opatřeními v pracovním kontextu, jako jsou kolegové nebo příbuzní oznamující osoby;</w:t>
      </w:r>
    </w:p>
    <w:p w:rsidR="00915672" w:rsidRPr="00717C85" w:rsidRDefault="00915672" w:rsidP="00915672">
      <w:pPr>
        <w:pStyle w:val="xmsolistparagraph"/>
        <w:shd w:val="clear" w:color="auto" w:fill="FFFFFF"/>
        <w:spacing w:before="0" w:beforeAutospacing="0" w:after="0" w:afterAutospacing="0" w:line="212" w:lineRule="atLeast"/>
        <w:ind w:left="1440" w:hanging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c)     </w:t>
      </w:r>
      <w:r w:rsidRPr="00717C85">
        <w:rPr>
          <w:rFonts w:asciiTheme="minorHAnsi" w:hAnsiTheme="minorHAnsi" w:cstheme="minorHAnsi"/>
          <w:color w:val="201F1E"/>
          <w:sz w:val="22"/>
          <w:szCs w:val="22"/>
        </w:rPr>
        <w:t>právní subjekty, jež oznamující osoby vlastní, pro něž pracují nebo jsou s nimi jinak spojeny v pracovním kontextu.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Směrnice upravuje také povinnost zavést interní oznamovací kanály (článek 8). Tato povinnost dopadne i na UP.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Kapitola VI se věnuje ochranným opatřením, článek 19 pak zákazu odvetných opatření. Do odvetných opatření jsou mimo jiné dle směrnice zařazena i následující jednání: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ind w:left="1560" w:hanging="426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i)       nepřevedení pracovní smlouvy na dobu určitou na pracovní smlouvu na dobu neurčitou v případě, kdy měl zaměstnanec legitimní očekávání, že mu bude nabídnut pracovní poměr na dobu neurčitou;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ind w:left="1560" w:hanging="426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j)      neobnovení nebo předčasné ukončení pracovní smlouvy na dobu určitou;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ind w:left="1560" w:hanging="426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o)     vyžadování psychiatrického nebo lékařského vyšetření.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Vzhledem k tomu, že se v tomto případě jedná o směrnici, je nutné její obsah nejprve na národní úrovni transponovat do právního řádu České republiky. Článek 26 stanoví povinnost členským státům přizpůsobit právní pořádek této směrnici do 17. prosince 2021.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Zatím není vůbec jasná konkrétní podoba předpisu na národní úrovni a je třeba pamatovat na to, že směrnice stanoví pouze minimální pravidla, tedy národní legislativa může být v mnohém přísnější.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Pro UP to bude znamenat povinnost přizpůsobit se národním předpisům, které budou transponovat směrnici.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Zvažte prosím otevření diskuse o povinnostech, které budou pro UP vyplývat z této směrnice, na vedení UP.</w:t>
      </w:r>
    </w:p>
    <w:p w:rsidR="00915672" w:rsidRPr="00717C85" w:rsidRDefault="00915672" w:rsidP="009156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17C85">
        <w:rPr>
          <w:rFonts w:asciiTheme="minorHAnsi" w:hAnsiTheme="minorHAnsi" w:cstheme="minorHAnsi"/>
          <w:color w:val="201F1E"/>
          <w:sz w:val="22"/>
          <w:szCs w:val="22"/>
        </w:rPr>
        <w:t>Pokud budete mít Vy nebo vedení zájem na tom začít danou problematiku implementovat do prostředí UP, dejte mi prosím vědět tak, abych mohla započít s přípravou.</w:t>
      </w:r>
    </w:p>
    <w:p w:rsidR="00B56B61" w:rsidRDefault="00B56B61"/>
    <w:sectPr w:rsidR="00B56B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08" w:rsidRDefault="000C6108" w:rsidP="00FD653E">
      <w:pPr>
        <w:spacing w:after="0" w:line="240" w:lineRule="auto"/>
      </w:pPr>
      <w:r>
        <w:separator/>
      </w:r>
    </w:p>
  </w:endnote>
  <w:endnote w:type="continuationSeparator" w:id="0">
    <w:p w:rsidR="000C6108" w:rsidRDefault="000C6108" w:rsidP="00F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09181"/>
      <w:docPartObj>
        <w:docPartGallery w:val="Page Numbers (Bottom of Page)"/>
        <w:docPartUnique/>
      </w:docPartObj>
    </w:sdtPr>
    <w:sdtContent>
      <w:p w:rsidR="00FD653E" w:rsidRDefault="00FD65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653E" w:rsidRDefault="00FD6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08" w:rsidRDefault="000C6108" w:rsidP="00FD653E">
      <w:pPr>
        <w:spacing w:after="0" w:line="240" w:lineRule="auto"/>
      </w:pPr>
      <w:r>
        <w:separator/>
      </w:r>
    </w:p>
  </w:footnote>
  <w:footnote w:type="continuationSeparator" w:id="0">
    <w:p w:rsidR="000C6108" w:rsidRDefault="000C6108" w:rsidP="00FD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72"/>
    <w:rsid w:val="000C6108"/>
    <w:rsid w:val="00915672"/>
    <w:rsid w:val="00B56B61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AF3A-409F-4266-965F-9583A32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672"/>
    <w:pPr>
      <w:spacing w:after="160" w:line="259" w:lineRule="auto"/>
    </w:pPr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15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5672"/>
    <w:rPr>
      <w:rFonts w:asciiTheme="minorHAnsi" w:hAnsiTheme="minorHAnsi"/>
      <w:sz w:val="20"/>
      <w:szCs w:val="20"/>
    </w:rPr>
  </w:style>
  <w:style w:type="paragraph" w:customStyle="1" w:styleId="xmsonormal">
    <w:name w:val="x_msonormal"/>
    <w:basedOn w:val="Normln"/>
    <w:rsid w:val="009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9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5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53E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D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53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4235</Characters>
  <Application>Microsoft Office Word</Application>
  <DocSecurity>0</DocSecurity>
  <Lines>35</Lines>
  <Paragraphs>9</Paragraphs>
  <ScaleCrop>false</ScaleCrop>
  <Company>HP Inc.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Lach</dc:creator>
  <cp:keywords/>
  <dc:description/>
  <cp:lastModifiedBy>J. Lach</cp:lastModifiedBy>
  <cp:revision>2</cp:revision>
  <dcterms:created xsi:type="dcterms:W3CDTF">2020-11-18T21:33:00Z</dcterms:created>
  <dcterms:modified xsi:type="dcterms:W3CDTF">2020-11-18T21:51:00Z</dcterms:modified>
</cp:coreProperties>
</file>